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/>
        <w:spacing w:before="156" w:beforeAutospacing="0" w:after="156" w:afterAutospacing="0" w:line="360" w:lineRule="auto"/>
        <w:jc w:val="center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  <w:t>开封市儿童医院 600kw柴油发电机组采购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44"/>
          <w:szCs w:val="44"/>
          <w:shd w:val="clear" w:color="auto" w:fill="FFFFFF"/>
        </w:rPr>
        <w:t>合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  <w:t>同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center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</w:rPr>
        <w:t>合同编号：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采购方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</w:rPr>
        <w:t>开封市儿童医院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</w:rPr>
        <w:t>以下简称甲方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中标方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（以下简称乙方）  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left"/>
        <w:textAlignment w:val="baseline"/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签订日期：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2023年6月  日</w:t>
      </w:r>
    </w:p>
    <w:p>
      <w:pPr>
        <w:shd w:val="solid" w:color="FFFFFF" w:fill="auto"/>
        <w:snapToGrid/>
        <w:spacing w:before="156" w:beforeAutospacing="0" w:after="156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甲方由于业务需要采购一批 600kw柴油发电机组。根据相关规定，该项目属于招投标项目。经过甲方招标，乙方为中标单位。现甲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乙双方根据《中华人民共和国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>典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》及相关法律法规的规定，在公平、公正的基础上，就甲方购买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  <w:lang w:eastAsia="zh-CN"/>
        </w:rPr>
        <w:t>发电机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相关事宜，经充分友好协商，达成一致，特签订本合同，以共同信守。</w:t>
      </w:r>
    </w:p>
    <w:p>
      <w:pPr>
        <w:shd w:val="solid" w:color="FFFFFF" w:fill="auto"/>
        <w:snapToGrid/>
        <w:spacing w:before="156" w:beforeAutospacing="0" w:after="156" w:afterAutospacing="0" w:line="240" w:lineRule="auto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一、甲方所购货物名称、单价、总价及质量</w:t>
      </w:r>
    </w:p>
    <w:tbl>
      <w:tblPr>
        <w:tblStyle w:val="7"/>
        <w:tblW w:w="964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695"/>
        <w:gridCol w:w="1005"/>
        <w:gridCol w:w="930"/>
        <w:gridCol w:w="1767"/>
        <w:gridCol w:w="179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95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005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67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79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1228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9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top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</w:tcPr>
          <w:p>
            <w:pPr>
              <w:snapToGrid/>
              <w:spacing w:before="156" w:beforeAutospacing="0" w:after="156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</w:tc>
        <w:tc>
          <w:tcPr>
            <w:tcW w:w="8415" w:type="dxa"/>
            <w:gridSpan w:val="6"/>
          </w:tcPr>
          <w:p>
            <w:pPr>
              <w:snapToGrid/>
              <w:spacing w:before="156" w:beforeAutospacing="0" w:after="156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（大写）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元整</w:t>
            </w:r>
          </w:p>
        </w:tc>
      </w:tr>
    </w:tbl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以甲方的招标文件、乙方的中标文件及本合同后附的清单中对货物的质量的描述为准—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机组设备及基础槽钢、随机自启动控制柜、烟囱、弯头、散热器(风扇、水箱)、随机工具、使用说明书、质量证书、保修卡等所有资料应齐全。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交货地点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：甲方指定的收货地为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开封市儿童医院院内(具体位置以甲方届时指定为准）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交货时间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双方商定乙方自   年   月   日至   年   月   日止。乙方履行合同过程中，如果遇到不可抗力原因影响按时交货和提供服务的情况时，应在情况发生后三天内以书面形式将拖延的事实，可能拖延的期限和理由书面通知甲方。甲方在收到通知后，决定是否修改乙方交货时间。 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、交货方式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：采用物流运输方式发货到甲方指定库房，运费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及装卸费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承担。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、货物包装要求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：乙方应确保包装质量满足运输安全要求，保护产品自身不受损害以及满足产品本身特性的要求。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、风险承担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：货物运输过程中发生的灭失、毁损等一切风险均由乙方承担，货物运达甲方指定地点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并经甲方验收合格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时，货物风险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及货物所有权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转移给甲方。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乙方安装服务项目内容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(1)机组的电池线连接、机组调试，不包括调试用油。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(2)包括排风、排烟系统的安装，外接电缆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的对接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 (3) 设备运输、 装卸及吊装费用由供方负责。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、质量及验收标准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：货物按本合同第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条约定的标准要求验收(检验根据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该货物的国家标准、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行业统一标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准及本合同的约定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、货物验收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1、设备到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甲方指定的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工地，由甲方和乙方进行机组及附件的验收。验收完毕，甲、乙双方在验货单上签字。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  2、乙方负责设备空载试运行，验收结果以书面形式做记录。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  3、双方做好试运行过程各种参数、指标的详细验收检验记录，检验记录经双方代表签字后作为验收依据。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质量保证 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  ⑴乙方应保证所提供的货物是全新的(产品应为原厂合格产品,不得有使用过或已维修过产品),并完全符合合同规定的质量、规格和性能要求（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该货物的国家标准及行业标准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）; 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  ⑵在保修期内：如机组出现故障，乙方应在接到甲方通知后两个小时内到达现场处理;如果乙方在接到甲方通知后不给予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维修，每次应支付甲方违约金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元，由此造成的损失将由乙方另行赔偿;若24小时无法修复，我方立即提供免费配件更换，更换的质量保证期从更换之日起相应顺延(人为因素除外)。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货款金额及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货款结算方式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1.乙方的中标价为：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元（大写人民币：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元整）。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2.双方商定乙方自2023年  月  日起向甲方发送本合同约定的货物      张，共    日完成交货。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3.上述价格为含税价格。甲方收到本合同约定的货物并经检验，乙方所交付的货物质量数量品牌等均符合本合同约定后30日向甲方开具符合法律规定的专用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发票，甲方在收到发票后向乙方支付合同总货款的97%，剩余3%是履约保证金。待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年质量保修期满，乙方的货物无质量问题，甲方无息将剩余3%款项支付完毕。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十二、质保期： 2年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  乙方保证机组之质量，保修期自交货之日起贰年，若经厂方审订确认机组中因零件制造质量上缺陷而损坏，则乙方负责免费修妥。若机组因甲方人为因素导致机组故障，乙方提供有偿服务（费用经双方另行协商）。如非甲方认为因素造成，乙方予以免费服务。质保期期满后，乙方提供优惠服务（费用经双方另行协商）。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十三、不可抗力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 1、本条所述的“不可抗力”系指那些乙方无法控制，不可预见的事件，但不包括乙方的违约或疏忽。这些事件包括：战争、严重火灾、洪水、台风、地震以及其他自然灾害的事件。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 2、如果乙方因不可抗力而导致合同实施延误或不履行合同义务，双方互不担责，经协商可提前解除合同</w:t>
      </w:r>
    </w:p>
    <w:p>
      <w:pPr>
        <w:keepLines w:val="0"/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 3、不可抗力事件发生后，乙方应在三天内以书面形式将情况通知甲方。双方应通过友好协商在合理的时间内达成进一步履行合同的协议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、违约责任：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1、若乙方不按合同约定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逾期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供货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，每逾期一日，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本合同约定的货物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总额的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分之五向甲方支付违约金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。如乙方逾期时间超过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10日，视为乙方无力履行合同，则本合同自逾期10日的次日起提前解除。合同解除后，乙方需将甲方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已经支付乙方未发送货物对应的货款退还给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。并向甲方支付乙方本条约定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额的30%承担违约责任。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按照合同约定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的时间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将货物运送到甲方指定的地点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或因为乙方所交付的货物不符合质量要求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均有权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拒绝接货，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方除承担给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甲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方造成的损失及运费外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及装卸费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，还应按照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额的30%承担违约责任。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如因乙方履行本合同过程中发生乙方违约行为发生争议，乙方还需承担甲方维权所支出的诉讼费、评估费、保全费、律师费、差旅费、鉴定费等一切合理支出。</w:t>
      </w:r>
    </w:p>
    <w:p>
      <w:pPr>
        <w:keepLines w:val="0"/>
        <w:numPr>
          <w:ilvl w:val="0"/>
          <w:numId w:val="1"/>
        </w:numPr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如乙方货物不能达到合同约定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质量、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品牌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、规格中任意一个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产品要求标准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甲方有权拒绝收货，甲方不承担任何费用（包含运费及人工费用）。</w:t>
      </w:r>
    </w:p>
    <w:p>
      <w:pPr>
        <w:keepLines w:val="0"/>
        <w:numPr>
          <w:ilvl w:val="0"/>
          <w:numId w:val="1"/>
        </w:numPr>
        <w:shd w:val="solid" w:color="FFFFFF" w:fill="auto"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如果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甲方对此批货物进行检验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，发现乙方所交付的货物不符合本合同的约定，属于乙方交付的货物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有质量问题，甲方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需在收到该批货物后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24小时内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通知乙方并立即将货物退回乙方，同时视为本合同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终止。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合同提前终止，甲方有权要求乙方退还甲方已经支付乙方未发送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货物对应的货款；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甲方在收到货后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3天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内验收完毕，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逾期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无异议视为该批产品合格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、争议解决方式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本合同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履行过程中如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发生争议，由双方协商解决；协商不成的，向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所在地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法院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进行诉讼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、合同生效：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1.该合同双方确认盖章签字后生效。其他形式的签订方式均不是本合同签订的形式，所签合同文本均不是本合同原件，甲方均不予认可。</w:t>
      </w:r>
    </w:p>
    <w:p>
      <w:pPr>
        <w:keepLines w:val="0"/>
        <w:shd w:val="solid" w:color="FFFFFF" w:fill="auto"/>
        <w:snapToGrid/>
        <w:spacing w:before="156" w:beforeAutospacing="0" w:after="156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本合同一式二份，甲乙双方各执一份，具有同等法律效力。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甲 方：（盖章）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开封市儿童医院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乙 方：（盖章）</w:t>
      </w:r>
    </w:p>
    <w:p>
      <w:pPr>
        <w:keepLines w:val="0"/>
        <w:widowControl/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/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地 址：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地 址：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ind w:hangingChars="2302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ind w:hangingChars="2302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授权代表人：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授权代表人：</w:t>
      </w:r>
    </w:p>
    <w:p>
      <w:pPr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snapToGrid/>
        <w:spacing w:before="156" w:beforeAutospacing="0" w:after="156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：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107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CDB13"/>
    <w:multiLevelType w:val="singleLevel"/>
    <w:tmpl w:val="F1DCDB1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k3NjMxMGVlNTJjOTQ3N2MzODFjOTgzMmJjMzAifQ=="/>
  </w:docVars>
  <w:rsids>
    <w:rsidRoot w:val="25BE38A0"/>
    <w:rsid w:val="00194549"/>
    <w:rsid w:val="002E01AC"/>
    <w:rsid w:val="0053284C"/>
    <w:rsid w:val="006D2B6F"/>
    <w:rsid w:val="008C5ECA"/>
    <w:rsid w:val="00AB2191"/>
    <w:rsid w:val="00D34891"/>
    <w:rsid w:val="00E71A9E"/>
    <w:rsid w:val="01726F41"/>
    <w:rsid w:val="01F6394D"/>
    <w:rsid w:val="03DA3FBF"/>
    <w:rsid w:val="04280CA2"/>
    <w:rsid w:val="04D925E1"/>
    <w:rsid w:val="06391C39"/>
    <w:rsid w:val="067A47B5"/>
    <w:rsid w:val="084C4911"/>
    <w:rsid w:val="085D7A3C"/>
    <w:rsid w:val="090A2DA9"/>
    <w:rsid w:val="093F1FCE"/>
    <w:rsid w:val="0A1200C5"/>
    <w:rsid w:val="0A7F7A5D"/>
    <w:rsid w:val="0B7D3F34"/>
    <w:rsid w:val="0C242E80"/>
    <w:rsid w:val="0C331EF8"/>
    <w:rsid w:val="0C4144CE"/>
    <w:rsid w:val="0D27610C"/>
    <w:rsid w:val="0E015D7C"/>
    <w:rsid w:val="11140CAC"/>
    <w:rsid w:val="120C2221"/>
    <w:rsid w:val="13117D9B"/>
    <w:rsid w:val="13817B74"/>
    <w:rsid w:val="147C7D5D"/>
    <w:rsid w:val="157C219C"/>
    <w:rsid w:val="158A1F92"/>
    <w:rsid w:val="16B3675C"/>
    <w:rsid w:val="16D947ED"/>
    <w:rsid w:val="175F3203"/>
    <w:rsid w:val="17830BBF"/>
    <w:rsid w:val="17844B1A"/>
    <w:rsid w:val="1C1035DD"/>
    <w:rsid w:val="1C886B13"/>
    <w:rsid w:val="1CEE6A68"/>
    <w:rsid w:val="1E320B5C"/>
    <w:rsid w:val="1E84561E"/>
    <w:rsid w:val="1F7C2B96"/>
    <w:rsid w:val="1FD0587A"/>
    <w:rsid w:val="1FEC5A91"/>
    <w:rsid w:val="203B651B"/>
    <w:rsid w:val="2069708C"/>
    <w:rsid w:val="212A0D22"/>
    <w:rsid w:val="2145137D"/>
    <w:rsid w:val="218C17DD"/>
    <w:rsid w:val="21EA63A0"/>
    <w:rsid w:val="22542BC9"/>
    <w:rsid w:val="22AB278A"/>
    <w:rsid w:val="23636D4C"/>
    <w:rsid w:val="23C96E5E"/>
    <w:rsid w:val="25BE38A0"/>
    <w:rsid w:val="260819FB"/>
    <w:rsid w:val="2899309D"/>
    <w:rsid w:val="2A4A787C"/>
    <w:rsid w:val="2A7B3265"/>
    <w:rsid w:val="2AE60102"/>
    <w:rsid w:val="2E367681"/>
    <w:rsid w:val="2E4C7613"/>
    <w:rsid w:val="2E822766"/>
    <w:rsid w:val="2EA30620"/>
    <w:rsid w:val="2F581188"/>
    <w:rsid w:val="2F745A9C"/>
    <w:rsid w:val="2F886857"/>
    <w:rsid w:val="306575CA"/>
    <w:rsid w:val="30732AB5"/>
    <w:rsid w:val="319A7F38"/>
    <w:rsid w:val="31B107E6"/>
    <w:rsid w:val="320D6DB3"/>
    <w:rsid w:val="32340D17"/>
    <w:rsid w:val="33C94D20"/>
    <w:rsid w:val="33EE7D8C"/>
    <w:rsid w:val="343C7199"/>
    <w:rsid w:val="34442F78"/>
    <w:rsid w:val="346E0160"/>
    <w:rsid w:val="34D82120"/>
    <w:rsid w:val="351E6053"/>
    <w:rsid w:val="3548175B"/>
    <w:rsid w:val="35BD18C9"/>
    <w:rsid w:val="35FB62D0"/>
    <w:rsid w:val="362F7EFE"/>
    <w:rsid w:val="36405484"/>
    <w:rsid w:val="37085E41"/>
    <w:rsid w:val="374F19C0"/>
    <w:rsid w:val="38563E6F"/>
    <w:rsid w:val="38C31022"/>
    <w:rsid w:val="39860D3C"/>
    <w:rsid w:val="3AA85F71"/>
    <w:rsid w:val="3BBA10B3"/>
    <w:rsid w:val="3BF96F35"/>
    <w:rsid w:val="3C9F77DF"/>
    <w:rsid w:val="3E0042C9"/>
    <w:rsid w:val="40382678"/>
    <w:rsid w:val="411C1808"/>
    <w:rsid w:val="425B0C97"/>
    <w:rsid w:val="42757E81"/>
    <w:rsid w:val="428F4E50"/>
    <w:rsid w:val="42D7275D"/>
    <w:rsid w:val="438D6D0A"/>
    <w:rsid w:val="43B3236C"/>
    <w:rsid w:val="444F0454"/>
    <w:rsid w:val="44A439CB"/>
    <w:rsid w:val="46AA4E30"/>
    <w:rsid w:val="4A63651E"/>
    <w:rsid w:val="4C041D97"/>
    <w:rsid w:val="50B63B6C"/>
    <w:rsid w:val="51330E5A"/>
    <w:rsid w:val="51AC706A"/>
    <w:rsid w:val="51C62F26"/>
    <w:rsid w:val="527A1BC2"/>
    <w:rsid w:val="52811348"/>
    <w:rsid w:val="539844B7"/>
    <w:rsid w:val="54A1343F"/>
    <w:rsid w:val="55323D53"/>
    <w:rsid w:val="55531CA5"/>
    <w:rsid w:val="557222C4"/>
    <w:rsid w:val="55842364"/>
    <w:rsid w:val="564311AD"/>
    <w:rsid w:val="56705648"/>
    <w:rsid w:val="56A77A2B"/>
    <w:rsid w:val="585711D8"/>
    <w:rsid w:val="587C514E"/>
    <w:rsid w:val="58D45B61"/>
    <w:rsid w:val="5A644C19"/>
    <w:rsid w:val="5C186839"/>
    <w:rsid w:val="5C1C01EE"/>
    <w:rsid w:val="5CBD604C"/>
    <w:rsid w:val="5CFB57C0"/>
    <w:rsid w:val="5DE83406"/>
    <w:rsid w:val="5E357344"/>
    <w:rsid w:val="5F2E0FD2"/>
    <w:rsid w:val="5F6E5B0F"/>
    <w:rsid w:val="5FC16E4B"/>
    <w:rsid w:val="61197B71"/>
    <w:rsid w:val="624B72C5"/>
    <w:rsid w:val="625273C0"/>
    <w:rsid w:val="626949D1"/>
    <w:rsid w:val="6347607B"/>
    <w:rsid w:val="636C2095"/>
    <w:rsid w:val="642D5BFC"/>
    <w:rsid w:val="64430E0D"/>
    <w:rsid w:val="64557EDF"/>
    <w:rsid w:val="65385614"/>
    <w:rsid w:val="658F2A7F"/>
    <w:rsid w:val="677C6F7F"/>
    <w:rsid w:val="682B3A58"/>
    <w:rsid w:val="68785914"/>
    <w:rsid w:val="68890F84"/>
    <w:rsid w:val="69E24D53"/>
    <w:rsid w:val="6AE922F0"/>
    <w:rsid w:val="6B037F55"/>
    <w:rsid w:val="6B503C6A"/>
    <w:rsid w:val="6BB75F6E"/>
    <w:rsid w:val="6BF31474"/>
    <w:rsid w:val="6D2A55F2"/>
    <w:rsid w:val="6E312D80"/>
    <w:rsid w:val="6E750FD5"/>
    <w:rsid w:val="6EC64375"/>
    <w:rsid w:val="70D27AC2"/>
    <w:rsid w:val="71606227"/>
    <w:rsid w:val="7250492A"/>
    <w:rsid w:val="74845D2D"/>
    <w:rsid w:val="752258EB"/>
    <w:rsid w:val="754B5BED"/>
    <w:rsid w:val="760F394D"/>
    <w:rsid w:val="7A964A35"/>
    <w:rsid w:val="7B8977EF"/>
    <w:rsid w:val="7BDF6BA2"/>
    <w:rsid w:val="7BED20D8"/>
    <w:rsid w:val="7C361FD9"/>
    <w:rsid w:val="7C5E5345"/>
    <w:rsid w:val="7C71360B"/>
    <w:rsid w:val="7D17167F"/>
    <w:rsid w:val="7DD97C1B"/>
    <w:rsid w:val="7DE72C9F"/>
    <w:rsid w:val="7EA82A12"/>
    <w:rsid w:val="7EB66845"/>
    <w:rsid w:val="7EBB7F41"/>
    <w:rsid w:val="7EC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annotation reference"/>
    <w:basedOn w:val="5"/>
    <w:qFormat/>
    <w:uiPriority w:val="99"/>
    <w:rPr>
      <w:rFonts w:cs="Times New Roman"/>
      <w:sz w:val="21"/>
      <w:szCs w:val="21"/>
    </w:rPr>
  </w:style>
  <w:style w:type="character" w:customStyle="1" w:styleId="8">
    <w:name w:val="Comment Text Char"/>
    <w:basedOn w:val="5"/>
    <w:link w:val="2"/>
    <w:semiHidden/>
    <w:qFormat/>
    <w:uiPriority w:val="99"/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255</Words>
  <Characters>1458</Characters>
  <Lines>0</Lines>
  <Paragraphs>0</Paragraphs>
  <TotalTime>14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2017-04-17T02:46:00Z</dcterms:created>
  <dc:creator>wen</dc:creator>
  <cp:lastModifiedBy>Administrator</cp:lastModifiedBy>
  <cp:lastPrinted>2022-06-27T05:06:00Z</cp:lastPrinted>
  <dcterms:modified xsi:type="dcterms:W3CDTF">2023-06-23T00:44:08Z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D7CEE123E90E4E609776AB3D9DC54E65_13</vt:lpwstr>
  </property>
</Properties>
</file>